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1B61A07B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9B6DC6" w:rsidRPr="009B6DC6">
              <w:rPr>
                <w:rFonts w:cstheme="minorHAnsi"/>
                <w:b/>
                <w:bCs/>
                <w:color w:val="1F497D" w:themeColor="text2"/>
              </w:rPr>
              <w:t>Pravilnik o kriterijima za izdavanje posebnog odobrenja za korištenje javnih površina na kojima nije dopušten promet motornim vozilima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561950F0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9B6DC6" w:rsidRPr="009B6DC6">
              <w:rPr>
                <w:rFonts w:cstheme="minorHAnsi"/>
                <w:b/>
                <w:color w:val="1F497D" w:themeColor="text2"/>
              </w:rPr>
              <w:t>17.02.2025 - 19.03.2025</w:t>
            </w: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31ED4366" w:rsidR="00946F1A" w:rsidRPr="00545616" w:rsidRDefault="009B6DC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9B6DC6">
              <w:rPr>
                <w:rFonts w:cstheme="minorHAnsi"/>
                <w:color w:val="808080" w:themeColor="background1" w:themeShade="80"/>
              </w:rPr>
              <w:t xml:space="preserve">Nikša </w:t>
            </w:r>
            <w:proofErr w:type="spellStart"/>
            <w:r w:rsidRPr="009B6DC6">
              <w:rPr>
                <w:rFonts w:cstheme="minorHAnsi"/>
                <w:color w:val="808080" w:themeColor="background1" w:themeShade="80"/>
              </w:rPr>
              <w:t>Kurtić</w:t>
            </w:r>
            <w:proofErr w:type="spellEnd"/>
          </w:p>
        </w:tc>
        <w:tc>
          <w:tcPr>
            <w:tcW w:w="5528" w:type="dxa"/>
          </w:tcPr>
          <w:p w14:paraId="72CC5A2A" w14:textId="4C07651B" w:rsidR="00946F1A" w:rsidRPr="00545616" w:rsidRDefault="009B6DC6" w:rsidP="00BF794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9B6DC6">
              <w:rPr>
                <w:rFonts w:cstheme="minorHAnsi"/>
                <w:color w:val="808080" w:themeColor="background1" w:themeShade="80"/>
              </w:rPr>
              <w:t xml:space="preserve">Ja </w:t>
            </w:r>
            <w:proofErr w:type="spellStart"/>
            <w:r w:rsidRPr="009B6DC6">
              <w:rPr>
                <w:rFonts w:cstheme="minorHAnsi"/>
                <w:color w:val="808080" w:themeColor="background1" w:themeShade="80"/>
              </w:rPr>
              <w:t>razumin</w:t>
            </w:r>
            <w:proofErr w:type="spellEnd"/>
            <w:r w:rsidRPr="009B6DC6">
              <w:rPr>
                <w:rFonts w:cstheme="minorHAnsi"/>
                <w:color w:val="808080" w:themeColor="background1" w:themeShade="80"/>
              </w:rPr>
              <w:t xml:space="preserve"> da se ne treba voziti motorima po šetnici ali zapitajmo se svi jedno. Gdje su ocrtana parking mjesta za motore u Podgori, gdje se može legalno parkirati skuter pa da </w:t>
            </w:r>
            <w:proofErr w:type="spellStart"/>
            <w:r w:rsidRPr="009B6DC6">
              <w:rPr>
                <w:rFonts w:cstheme="minorHAnsi"/>
                <w:color w:val="808080" w:themeColor="background1" w:themeShade="80"/>
              </w:rPr>
              <w:t>čovik</w:t>
            </w:r>
            <w:proofErr w:type="spellEnd"/>
            <w:r w:rsidRPr="009B6DC6">
              <w:rPr>
                <w:rFonts w:cstheme="minorHAnsi"/>
                <w:color w:val="808080" w:themeColor="background1" w:themeShade="80"/>
              </w:rPr>
              <w:t xml:space="preserve"> može onda prošetat </w:t>
            </w:r>
            <w:proofErr w:type="spellStart"/>
            <w:r w:rsidRPr="009B6DC6">
              <w:rPr>
                <w:rFonts w:cstheme="minorHAnsi"/>
                <w:color w:val="808080" w:themeColor="background1" w:themeShade="80"/>
              </w:rPr>
              <w:t>priko</w:t>
            </w:r>
            <w:proofErr w:type="spellEnd"/>
            <w:r w:rsidRPr="009B6DC6">
              <w:rPr>
                <w:rFonts w:cstheme="minorHAnsi"/>
                <w:color w:val="808080" w:themeColor="background1" w:themeShade="80"/>
              </w:rPr>
              <w:t xml:space="preserve"> šetnice? Ako nešto zabraniš, pa daj alternativu ljudima...</w:t>
            </w:r>
          </w:p>
        </w:tc>
        <w:tc>
          <w:tcPr>
            <w:tcW w:w="1276" w:type="dxa"/>
          </w:tcPr>
          <w:p w14:paraId="24AC0508" w14:textId="4973BD8F" w:rsidR="00681E8E" w:rsidRPr="00545616" w:rsidRDefault="009B6DC6">
            <w:pPr>
              <w:rPr>
                <w:rFonts w:cstheme="minorHAnsi"/>
                <w:color w:val="808080" w:themeColor="background1" w:themeShade="80"/>
              </w:rPr>
            </w:pPr>
            <w:r w:rsidRPr="009B6DC6">
              <w:rPr>
                <w:rFonts w:cstheme="minorHAnsi"/>
                <w:color w:val="808080" w:themeColor="background1" w:themeShade="80"/>
              </w:rPr>
              <w:t>20.02.2025 10:10</w:t>
            </w:r>
          </w:p>
        </w:tc>
        <w:tc>
          <w:tcPr>
            <w:tcW w:w="1418" w:type="dxa"/>
          </w:tcPr>
          <w:p w14:paraId="5AF36E0B" w14:textId="45A10EA2" w:rsidR="00365B59" w:rsidRPr="00403EAE" w:rsidRDefault="006B0B28" w:rsidP="006B0B28">
            <w:pPr>
              <w:rPr>
                <w:rFonts w:cstheme="minorHAnsi"/>
              </w:rPr>
            </w:pPr>
            <w:r w:rsidRPr="008C325A">
              <w:rPr>
                <w:rFonts w:ascii="Arial" w:hAnsi="Arial" w:cs="Arial"/>
                <w:sz w:val="20"/>
                <w:szCs w:val="20"/>
              </w:rPr>
              <w:t>-Odbijen</w:t>
            </w:r>
          </w:p>
        </w:tc>
        <w:tc>
          <w:tcPr>
            <w:tcW w:w="5103" w:type="dxa"/>
          </w:tcPr>
          <w:p w14:paraId="47D17C94" w14:textId="7519DDDB" w:rsidR="00946F1A" w:rsidRPr="00403EAE" w:rsidRDefault="008C325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8C325A">
              <w:rPr>
                <w:rFonts w:cstheme="minorHAnsi"/>
              </w:rPr>
              <w:t xml:space="preserve">Načelne primjedbe i prijedlozi se ne prihvaćaju. Ovim nacrtom prijedloga </w:t>
            </w:r>
            <w:r>
              <w:rPr>
                <w:rFonts w:cstheme="minorHAnsi"/>
              </w:rPr>
              <w:t xml:space="preserve">Pravilnika </w:t>
            </w:r>
            <w:r w:rsidRPr="008C325A">
              <w:rPr>
                <w:rFonts w:cstheme="minorHAnsi"/>
              </w:rPr>
              <w:t xml:space="preserve"> donos</w:t>
            </w:r>
            <w:r>
              <w:rPr>
                <w:rFonts w:cstheme="minorHAnsi"/>
              </w:rPr>
              <w:t>e</w:t>
            </w:r>
            <w:r w:rsidRPr="008C325A">
              <w:rPr>
                <w:rFonts w:cstheme="minorHAnsi"/>
              </w:rPr>
              <w:t xml:space="preserve"> se</w:t>
            </w:r>
            <w:r>
              <w:rPr>
                <w:rFonts w:cstheme="minorHAnsi"/>
              </w:rPr>
              <w:t xml:space="preserve"> kriteriji za izdavanje posebnog odobrenja za korištenje javnih površina na kojima nije dopušten promet motornim vozilima</w:t>
            </w:r>
            <w:r w:rsidRPr="008C325A">
              <w:rPr>
                <w:rFonts w:cstheme="minorHAnsi"/>
              </w:rPr>
              <w:t xml:space="preserve">. Vrste parkirališnih </w:t>
            </w:r>
            <w:r>
              <w:rPr>
                <w:rFonts w:cstheme="minorHAnsi"/>
              </w:rPr>
              <w:t>mjesta</w:t>
            </w:r>
            <w:r w:rsidRPr="008C325A">
              <w:rPr>
                <w:rFonts w:cstheme="minorHAnsi"/>
              </w:rPr>
              <w:t>, način njihova korištenja</w:t>
            </w:r>
            <w:r>
              <w:rPr>
                <w:rFonts w:cstheme="minorHAnsi"/>
              </w:rPr>
              <w:t xml:space="preserve"> </w:t>
            </w:r>
            <w:r w:rsidRPr="008C325A">
              <w:rPr>
                <w:rFonts w:cstheme="minorHAnsi"/>
              </w:rPr>
              <w:t xml:space="preserve">nisu predmet ovoga </w:t>
            </w:r>
            <w:r>
              <w:rPr>
                <w:rFonts w:cstheme="minorHAnsi"/>
              </w:rPr>
              <w:t>Pravilnika</w:t>
            </w:r>
            <w:r w:rsidR="00EA0721">
              <w:rPr>
                <w:rFonts w:cstheme="minorHAnsi"/>
              </w:rPr>
              <w:t xml:space="preserve"> no Vaša primjedba će se uzeti u obzir prilikom planiranja budućih parking mjesta.</w:t>
            </w:r>
          </w:p>
        </w:tc>
      </w:tr>
    </w:tbl>
    <w:p w14:paraId="3AB44A0F" w14:textId="77777777" w:rsidR="00545616" w:rsidRPr="00545616" w:rsidRDefault="00545616" w:rsidP="00107D73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6598" w14:textId="77777777" w:rsidR="0041355F" w:rsidRDefault="0041355F" w:rsidP="00946F1A">
      <w:pPr>
        <w:spacing w:after="0" w:line="240" w:lineRule="auto"/>
      </w:pPr>
      <w:r>
        <w:separator/>
      </w:r>
    </w:p>
  </w:endnote>
  <w:endnote w:type="continuationSeparator" w:id="0">
    <w:p w14:paraId="768081EA" w14:textId="77777777" w:rsidR="0041355F" w:rsidRDefault="0041355F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0AA2" w14:textId="77777777" w:rsidR="0041355F" w:rsidRDefault="0041355F" w:rsidP="00946F1A">
      <w:pPr>
        <w:spacing w:after="0" w:line="240" w:lineRule="auto"/>
      </w:pPr>
      <w:r>
        <w:separator/>
      </w:r>
    </w:p>
  </w:footnote>
  <w:footnote w:type="continuationSeparator" w:id="0">
    <w:p w14:paraId="5467EEFF" w14:textId="77777777" w:rsidR="0041355F" w:rsidRDefault="0041355F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04BBB4AD" w:rsidR="007C536F" w:rsidRPr="00946F1A" w:rsidRDefault="00540C06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 PODGORA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04BBB4AD" w:rsidR="007C536F" w:rsidRPr="00946F1A" w:rsidRDefault="00540C06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 PODGORA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21D94"/>
    <w:rsid w:val="0002590D"/>
    <w:rsid w:val="00035DA7"/>
    <w:rsid w:val="00084810"/>
    <w:rsid w:val="00095998"/>
    <w:rsid w:val="000B6508"/>
    <w:rsid w:val="000E2FCC"/>
    <w:rsid w:val="00106006"/>
    <w:rsid w:val="00107D73"/>
    <w:rsid w:val="00176540"/>
    <w:rsid w:val="00184E7F"/>
    <w:rsid w:val="001B0961"/>
    <w:rsid w:val="001B43C3"/>
    <w:rsid w:val="001B7612"/>
    <w:rsid w:val="001C66A3"/>
    <w:rsid w:val="00221E88"/>
    <w:rsid w:val="00255AF3"/>
    <w:rsid w:val="002B7FBD"/>
    <w:rsid w:val="00365B59"/>
    <w:rsid w:val="0036646E"/>
    <w:rsid w:val="00377DD7"/>
    <w:rsid w:val="00383AA3"/>
    <w:rsid w:val="003A51DA"/>
    <w:rsid w:val="003B7228"/>
    <w:rsid w:val="003D3BCE"/>
    <w:rsid w:val="003D6D81"/>
    <w:rsid w:val="003F6444"/>
    <w:rsid w:val="00403EAE"/>
    <w:rsid w:val="0041355F"/>
    <w:rsid w:val="00426A2E"/>
    <w:rsid w:val="00434D01"/>
    <w:rsid w:val="004B055B"/>
    <w:rsid w:val="004C214D"/>
    <w:rsid w:val="004D4B17"/>
    <w:rsid w:val="004E4F44"/>
    <w:rsid w:val="00520915"/>
    <w:rsid w:val="00540C06"/>
    <w:rsid w:val="00545616"/>
    <w:rsid w:val="00546335"/>
    <w:rsid w:val="005F56E2"/>
    <w:rsid w:val="00602E69"/>
    <w:rsid w:val="006178A6"/>
    <w:rsid w:val="00626CC9"/>
    <w:rsid w:val="00630B97"/>
    <w:rsid w:val="00634DAA"/>
    <w:rsid w:val="00654816"/>
    <w:rsid w:val="006669BF"/>
    <w:rsid w:val="006721AA"/>
    <w:rsid w:val="00681E8E"/>
    <w:rsid w:val="006B0B28"/>
    <w:rsid w:val="006B1EBB"/>
    <w:rsid w:val="006B7557"/>
    <w:rsid w:val="006C46BB"/>
    <w:rsid w:val="006F0942"/>
    <w:rsid w:val="00704413"/>
    <w:rsid w:val="00737A30"/>
    <w:rsid w:val="00744549"/>
    <w:rsid w:val="00765E3A"/>
    <w:rsid w:val="00766D91"/>
    <w:rsid w:val="00784B0B"/>
    <w:rsid w:val="00787CAC"/>
    <w:rsid w:val="007C536F"/>
    <w:rsid w:val="00892754"/>
    <w:rsid w:val="008A7A88"/>
    <w:rsid w:val="008C325A"/>
    <w:rsid w:val="0093264E"/>
    <w:rsid w:val="00946F1A"/>
    <w:rsid w:val="00957F16"/>
    <w:rsid w:val="009768DF"/>
    <w:rsid w:val="0098502C"/>
    <w:rsid w:val="009B6DC6"/>
    <w:rsid w:val="009C341E"/>
    <w:rsid w:val="009C4CEC"/>
    <w:rsid w:val="00A842D3"/>
    <w:rsid w:val="00A9210D"/>
    <w:rsid w:val="00AC0A4B"/>
    <w:rsid w:val="00AD27A3"/>
    <w:rsid w:val="00B561DF"/>
    <w:rsid w:val="00B61F3C"/>
    <w:rsid w:val="00B65120"/>
    <w:rsid w:val="00BE4331"/>
    <w:rsid w:val="00BE5C48"/>
    <w:rsid w:val="00BF7946"/>
    <w:rsid w:val="00C077A3"/>
    <w:rsid w:val="00C112F5"/>
    <w:rsid w:val="00C47323"/>
    <w:rsid w:val="00C73FE4"/>
    <w:rsid w:val="00C8226A"/>
    <w:rsid w:val="00C86468"/>
    <w:rsid w:val="00C91EF3"/>
    <w:rsid w:val="00CA5DB6"/>
    <w:rsid w:val="00CB285F"/>
    <w:rsid w:val="00CC0C57"/>
    <w:rsid w:val="00CD2D21"/>
    <w:rsid w:val="00D252FB"/>
    <w:rsid w:val="00D719F9"/>
    <w:rsid w:val="00D75DF2"/>
    <w:rsid w:val="00D801D5"/>
    <w:rsid w:val="00DA5BB5"/>
    <w:rsid w:val="00DB0A0F"/>
    <w:rsid w:val="00DB4E0E"/>
    <w:rsid w:val="00DD16AB"/>
    <w:rsid w:val="00DD34EF"/>
    <w:rsid w:val="00DD5810"/>
    <w:rsid w:val="00E0443C"/>
    <w:rsid w:val="00E102EF"/>
    <w:rsid w:val="00E14DF4"/>
    <w:rsid w:val="00E158E5"/>
    <w:rsid w:val="00E23220"/>
    <w:rsid w:val="00E30C4C"/>
    <w:rsid w:val="00E30CAF"/>
    <w:rsid w:val="00E32626"/>
    <w:rsid w:val="00E55531"/>
    <w:rsid w:val="00E73B1D"/>
    <w:rsid w:val="00E73E66"/>
    <w:rsid w:val="00E91D4F"/>
    <w:rsid w:val="00EA0721"/>
    <w:rsid w:val="00EA55B3"/>
    <w:rsid w:val="00EB6C68"/>
    <w:rsid w:val="00EE7517"/>
    <w:rsid w:val="00F17645"/>
    <w:rsid w:val="00F255EA"/>
    <w:rsid w:val="00F922FD"/>
    <w:rsid w:val="00F96ECD"/>
    <w:rsid w:val="00FA4624"/>
    <w:rsid w:val="00FB001D"/>
    <w:rsid w:val="00FC5A30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88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0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6D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66D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0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HP</cp:lastModifiedBy>
  <cp:revision>2</cp:revision>
  <cp:lastPrinted>2025-02-17T13:05:00Z</cp:lastPrinted>
  <dcterms:created xsi:type="dcterms:W3CDTF">2025-03-20T08:41:00Z</dcterms:created>
  <dcterms:modified xsi:type="dcterms:W3CDTF">2025-03-20T08:41:00Z</dcterms:modified>
</cp:coreProperties>
</file>